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451d741630ddb7f7b298c302cbdd5cdce55220"/>
    <w:p>
      <w:pPr>
        <w:pStyle w:val="Heading3"/>
      </w:pPr>
      <w:r>
        <w:t xml:space="preserve">Памятка префектуры ЦАО об основах антикоррупционного поведения государственных гражданских служащих</w:t>
      </w:r>
    </w:p>
    <w:p>
      <w:pPr>
        <w:pStyle w:val="FirstParagraph"/>
      </w:pPr>
      <w:r>
        <w:t xml:space="preserve">19.05.2014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http://cao.mos.ru/anti-corruption/methodical-materials/detail/1045858.html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anti-corruption/methodical-materials/detail/10458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anti-corruption/methodical-materials/detail/10458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2025-08-03T17:09:13Z</dcterms:created>
  <dcterms:modified xsi:type="dcterms:W3CDTF">2025-08-03T17:09:13Z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