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cc51feb0d3a4fee781d94e0051c4de5a663c6"/>
    <w:p>
      <w:pPr>
        <w:pStyle w:val="Heading3"/>
      </w:pPr>
      <w:r>
        <w:t xml:space="preserve">Методические материалы, рекомендации, обзоры, разъяснения и иные документы, подготовленные Минтрудом России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материалы, рекомендации, обзоры, разъяснения и иные документы, подготовленные Минтрудом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http://cao.mos.ru/anti-corruption/methodical-materials/detail/12707611.html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anti-corruption/methodical-materials/detail/12707611.html" TargetMode="External" /><Relationship Type="http://schemas.openxmlformats.org/officeDocument/2006/relationships/hyperlink" Id="rId20" Target="https://mintrud.gov.ru/ministry/anticorruption/Metho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anti-corruption/methodical-materials/detail/12707611.html" TargetMode="External" /><Relationship Type="http://schemas.openxmlformats.org/officeDocument/2006/relationships/hyperlink" Id="rId20" Target="https://mintrud.gov.ru/ministry/anticorruption/Metho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2025-04-20T01:35:21Z</dcterms:created>
  <dcterms:modified xsi:type="dcterms:W3CDTF">2025-04-20T01:35:21Z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