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6ec2f79966027f40cf0aecc119a90f80998c3"/>
    <w:p>
      <w:pPr>
        <w:pStyle w:val="Heading3"/>
      </w:pPr>
      <w:r>
        <w:t xml:space="preserve">Информационно-методический ресурс по вопросам противодействия коррупции на базе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Информационно-методический ресурс по вопросам противодействия коррупции на базе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http://cao.mos.ru/anti-corruption/methodical-materials/detail/12707614.html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anti-corruption/methodical-materials/detail/12707614.html" TargetMode="External" /><Relationship Type="http://schemas.openxmlformats.org/officeDocument/2006/relationships/hyperlink" Id="rId20" Target="https://gossluzhba.gov.ru/anticorru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anti-corruption/methodical-materials/detail/12707614.html" TargetMode="External" /><Relationship Type="http://schemas.openxmlformats.org/officeDocument/2006/relationships/hyperlink" Id="rId20" Target="https://gossluzhba.gov.ru/anticorru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2025-02-16T02:11:53Z</dcterms:created>
  <dcterms:modified xsi:type="dcterms:W3CDTF">2025-02-16T02:11:53Z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