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b12d864d216e656417b7ac121b68792fdab3b"/>
    <w:p>
      <w:pPr>
        <w:pStyle w:val="Heading3"/>
      </w:pPr>
      <w:r>
        <w:t xml:space="preserve">В январе число сделок на московском рынке  вторичного жилья выросло за год на 27%</w:t>
      </w:r>
    </w:p>
    <w:p>
      <w:pPr>
        <w:pStyle w:val="FirstParagraph"/>
      </w:pPr>
      <w:r>
        <w:t xml:space="preserve">14.02.2025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bookmarkStart w:id="20" w:name="Xb099eeba260b9f5a18c92ea4d96eecbc5247b1e"/>
      <w:r>
        <w:t xml:space="preserve"> </w:t>
      </w:r>
      <w:bookmarkEnd w:id="20"/>
    </w:p>
    <w:p>
      <w:pPr>
        <w:pStyle w:val="BodyText"/>
      </w:pPr>
      <w:r>
        <w:t xml:space="preserve">В январе 2025 года в Москве зарегистрировано 9 496 переходов прав на основании договоров купли-продажи (мены) жилья, что стало вторым максимумом этого месяца за все годы ведения статистики. Об этом сообщил руководитель Управления Росреестра по Москве Игорь Майданов.</w:t>
      </w:r>
    </w:p>
    <w:p>
      <w:pPr>
        <w:pStyle w:val="BodyText"/>
      </w:pPr>
      <w:r>
        <w:t xml:space="preserve">«Почти 9,5 тысячи сделок по переходу прав на московском рынке вторичного жилья оформлено по результатам января текущего года, что более чем на 2 тысячи регистраций превышает результат аналогичного периода прошлого года, а также демонстрирует уверенный рост к январским показателям прошлых лет. Так, за все время статистических наблюдений больше за этот месяц было зафиксировано только в 2019 году», — комментирует Игорь Майданов.</w:t>
      </w:r>
    </w:p>
    <w:p>
      <w:pPr>
        <w:pStyle w:val="BodyText"/>
      </w:pPr>
      <w:r>
        <w:t xml:space="preserve">По сравнению с первым месяцем прошлого года (7 469) число сделок на вторичном рынке столичного жилья увеличилось на 27,1%, а к аналогичному периоду 2023 года (7 672) показатель вырос 23,8%.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http://cao.mos.ru/important-in-the-district/detail/12808240.html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280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important-in-the-district/detail/1280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2025-02-20T16:23:09Z</dcterms:created>
  <dcterms:modified xsi:type="dcterms:W3CDTF">2025-02-20T16:23:09Z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