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dde051e68d6494ad3d8322264efb890053340"/>
    <w:p>
      <w:pPr>
        <w:pStyle w:val="Heading3"/>
      </w:pPr>
      <w:r>
        <w:t xml:space="preserve">Департамент по конкурентной политике сообщает о реализации 56 машино-мест в ЦАО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реализации 56 машино-мест, расположенных в подвалах жилых домов по адресам:</w:t>
      </w:r>
      <w:r>
        <w:t xml:space="preserve"> </w:t>
      </w:r>
    </w:p>
    <w:p>
      <w:pPr>
        <w:pStyle w:val="BodyText"/>
      </w:pPr>
      <w:r>
        <w:t xml:space="preserve">– г. Москва, Нижегородская ул., д.7 (48 машино-мест, в оперативном управлении ГБУ «Жилищник Таганского района»);</w:t>
      </w:r>
      <w:r>
        <w:t xml:space="preserve"> </w:t>
      </w:r>
    </w:p>
    <w:p>
      <w:pPr>
        <w:pStyle w:val="BodyText"/>
      </w:pPr>
      <w:r>
        <w:t xml:space="preserve">– г. Москва, пер. 2-й Новый, д.4 (6 машино-мест, в оперативном управлении ГБУ «Жилищник Красносельского района»);</w:t>
      </w:r>
      <w:r>
        <w:t xml:space="preserve"> </w:t>
      </w:r>
    </w:p>
    <w:p>
      <w:pPr>
        <w:pStyle w:val="BodyText"/>
      </w:pPr>
      <w:r>
        <w:t xml:space="preserve">– г. Москва, Докучаев пер., д.19 (2 машино-места, в оперативном управлении ГБУ «Жилищник Красносельского района»).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многоквартирных домов по адресам соответственно: г. Москва, Нижегородская ул., д.7, г. Москва, пер. 2-й Новый, д.4, г. Москва, Докучаев пер., д.19.</w:t>
      </w:r>
    </w:p>
    <w:p>
      <w:pPr>
        <w:pStyle w:val="BodyText"/>
      </w:pPr>
      <w:r>
        <w:t xml:space="preserve">Прием заявок от жителей жилых помещений осуществляется с 09.10.2019 (г. Москва, Нижегородская ул., д.7), с 10.10.2019 (г. Москва, пер. 2-й Новый, д.4 и г. Москва, Докучаев пер., д.19) с использованием функционала электронной площадки www.roseltorg.ru.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http://cao.mos.ru/important-in-the-district/detail/8420691.html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8420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8420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2025-02-16T02:15:01Z</dcterms:created>
  <dcterms:modified xsi:type="dcterms:W3CDTF">2025-02-16T02:15:01Z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