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bc2ea3fefe995e581956b10789ab3f09f5ac9"/>
    <w:p>
      <w:pPr>
        <w:pStyle w:val="Heading3"/>
      </w:pPr>
      <w:r>
        <w:t xml:space="preserve">Здание на Мясницкой улице выставили на торги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t xml:space="preserve">В Басманном районе на торги выставили трехэтажное здание 1917 года постройки. Там инвесторы смогут открыть головной офис компании, частное образовательное учреждение или центральный магазин сети.</w:t>
      </w:r>
    </w:p>
    <w:p>
      <w:pPr>
        <w:pStyle w:val="BodyText"/>
      </w:pPr>
      <w:r>
        <w:t xml:space="preserve">Дом расположен по адресу: Мясницкая улица, дом 18, строение 2. Сегодня он вписан в единый исторический фасад, но не является объектом культурного наследия. Здание подключено к центральным коммуникациям, а вход в него располагается со стороны Кривоколенного переулка,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— Инвестиционная привлекательность лота определяется местоположением на первой линии Мясницкой улицы, а также универсальным размером — его площадь составляет 197,3 квадратного метра, — отметил руководитель столичного Департамента по конкурентной политике Иван Щербаков.</w:t>
      </w:r>
    </w:p>
    <w:p>
      <w:pPr>
        <w:pStyle w:val="BodyText"/>
      </w:pPr>
      <w:r>
        <w:t xml:space="preserve">Заявки на участие в аукционе примут до 20 февраля включительно. Лот реализуют на открытом онлайн-аукционе на повышение начальной стоимости. Для участия потребуется усиленная квалифицированная электронная подпись, которая является полным аналогом личной подписи владельца и имеет ту же юридическую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http://cao.mos.ru/presscenter/news/detail/11417909.html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417909.html" TargetMode="External" /><Relationship Type="http://schemas.openxmlformats.org/officeDocument/2006/relationships/hyperlink" Id="rId20" Target="https://www.mos.ru/news/item/12002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417909.html" TargetMode="External" /><Relationship Type="http://schemas.openxmlformats.org/officeDocument/2006/relationships/hyperlink" Id="rId20" Target="https://www.mos.ru/news/item/12002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2025-08-03T20:58:37Z</dcterms:created>
  <dcterms:modified xsi:type="dcterms:W3CDTF">2025-08-03T20:58:37Z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