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4a4b800f70e34678c210edd7535aa3bdafd44"/>
    <w:p>
      <w:pPr>
        <w:pStyle w:val="Heading3"/>
      </w:pPr>
      <w:r>
        <w:t xml:space="preserve">Руководство китайского холдинга заинтересовалось возможностью инвестирования в московскую недвижимость</w:t>
      </w:r>
    </w:p>
    <w:p>
      <w:pPr>
        <w:pStyle w:val="FirstParagraph"/>
      </w:pPr>
      <w:r>
        <w:t xml:space="preserve">06.08.2014</w:t>
      </w:r>
    </w:p>
    <w:p>
      <w:pPr>
        <w:pStyle w:val="BodyText"/>
      </w:pPr>
      <w:r>
        <w:t xml:space="preserve">Как сообщил заместитель мэра по градостроительной политике и строительству города Москвы Марат Хуснуллин, в конце августа — начале сентября столицу может посетить глава китайского холдинга Dalian Wanda. Ван Цзяньлинь считается самым богатым китайцем в мире. Интерес холдинга к инвестированию в московскую недвижимость подтвержден на уровне совета директоров.</w:t>
      </w:r>
    </w:p>
    <w:p>
      <w:pPr>
        <w:pStyle w:val="BodyText"/>
      </w:pPr>
      <w:r>
        <w:t xml:space="preserve">Группа представителей Dalian Wanda Group уже побывала в Москве и осмотрела дома-книжки на Новом Арбате, расположенном в Центральном административном округе, а также территорию ЗиЛа. Кроме этого, ими были проведены переговоры со столичными девелоперами.</w:t>
      </w:r>
    </w:p>
    <w:p>
      <w:pPr>
        <w:pStyle w:val="BodyText"/>
      </w:pPr>
      <w:r>
        <w:t xml:space="preserve">Холдинг работает в четырех направлениях: коммерческая недвижимость, люксовые отели, культура и туризм, а также универмаги. Совокупные активы компании по данным 2013 года оцениваются в 62 млрд долларов, а чистая прибыль составляет более 2 млрд долларов.</w:t>
      </w:r>
    </w:p>
    <w:p>
      <w:pPr>
        <w:pStyle w:val="BodyText"/>
      </w:pPr>
      <w:r>
        <w:t xml:space="preserve">Марат Хуснуллин также отметил, что иностранные инвесторы проявляют большой интерес к Москве, в первую очередь — к ее инфраструктурным проектам: новым видам транспорта, развитию метрополитена, платным автодорогам и гостиницам.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http://cao.mos.ru/presscenter/news/detail/1192385.html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192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192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2024-08-27T23:15:29Z</dcterms:created>
  <dcterms:modified xsi:type="dcterms:W3CDTF">2024-08-27T23:15:29Z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