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2b1ac96e62eefc5ff6638a584d2cdc6f8a4b9"/>
    <w:p>
      <w:pPr>
        <w:pStyle w:val="Heading3"/>
      </w:pPr>
      <w:r>
        <w:t xml:space="preserve">Заседание Молпалаты Мещанского района прошло в ЦАТРА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t xml:space="preserve">05.02.2024</w:t>
      </w:r>
    </w:p>
    <w:p>
      <w:pPr>
        <w:pStyle w:val="BodyText"/>
      </w:pPr>
      <w:r>
        <w:t xml:space="preserve">Встреча активистов Молодежной палаты Мещанского района завершилась 3 февраля в Центральном академическом театре Российской Армии.</w:t>
      </w:r>
    </w:p>
    <w:p>
      <w:pPr>
        <w:pStyle w:val="BodyText"/>
      </w:pPr>
      <w:r>
        <w:t xml:space="preserve">В ходе заседания председатель Молпалаты Лидия Касаткина подвела итоги работы общественного объединения за IV квартал 2023 года.</w:t>
      </w:r>
    </w:p>
    <w:p>
      <w:pPr>
        <w:pStyle w:val="BodyText"/>
      </w:pPr>
      <w:r>
        <w:t xml:space="preserve">— Главная цель организации заключается в формировании созидательной гражданской позиции у молодых граждан и поддержке их социальной активности, — проинформировала председатель.</w:t>
      </w:r>
    </w:p>
    <w:p>
      <w:pPr>
        <w:pStyle w:val="BodyText"/>
      </w:pPr>
      <w:r>
        <w:t xml:space="preserve">Лидия Касаткина сообщила, что за период с 10 ноября по 10 декабря представители Молпалаты Мещанского района провели шесть патриотических и творческих мероприятий. Благодаря активности молодежное объединение заняло шестое место в округе. Ранее оно находилось на десятом. На городском уровне палата заняла 98 место. Количество участников и претендентов увеличилось с семи до 13 человек.</w:t>
      </w:r>
    </w:p>
    <w:p>
      <w:pPr>
        <w:pStyle w:val="BodyText"/>
      </w:pPr>
      <w:r>
        <w:t xml:space="preserve">За месяц работы нового председателя Молодежная палата района продемонстрировала высокие результаты. Лидия Касаткина отметила, что серия проведенных мероприятий, активность и освещенность деятельности организации в средствах массовой информации свидетельствуют об успешной работе в заданном периоде.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http://cao.mos.ru/presscenter/news/detail/12147262.html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147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147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2025-02-17T12:46:21Z</dcterms:created>
  <dcterms:modified xsi:type="dcterms:W3CDTF">2025-02-17T12:46:21Z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