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e5fabe95a055d95be6515aeedb52d4cf5f114"/>
    <w:p>
      <w:pPr>
        <w:pStyle w:val="Heading3"/>
      </w:pPr>
      <w:r>
        <w:t xml:space="preserve">Москва приняла участие в международной ярмарке</w:t>
      </w:r>
    </w:p>
    <w:p>
      <w:pPr>
        <w:pStyle w:val="FirstParagraph"/>
      </w:pPr>
      <w:r>
        <w:t xml:space="preserve">22.10.2015</w:t>
      </w:r>
    </w:p>
    <w:p>
      <w:pPr>
        <w:pStyle w:val="BodyText"/>
      </w:pPr>
      <w:r>
        <w:t xml:space="preserve">Российская столица впервые участвует в ярмарке в Монако. Мероприятие приурочено к году России в княжестве. Отметим, что за последние пять лет, с момента вступления Сергея Собянина на пост мэра, Москва стала заметно чаще представлять себя на различных международных площадках.</w:t>
      </w:r>
    </w:p>
    <w:p>
      <w:pPr>
        <w:pStyle w:val="BodyText"/>
      </w:pPr>
      <w:r>
        <w:t xml:space="preserve">Примечательно, что одним из ключевых направлений в работе столичного Правительства является улучшение инвестиционного климата и создание благоприятных условий для ведения бизнеса. Результатом такой политики стали рост инвестиций и признание на международном уровне. В частности, Москва поднялась на 63-ю позицию в рейтинге инновационных городов мира.</w:t>
      </w:r>
    </w:p>
    <w:p>
      <w:pPr>
        <w:pStyle w:val="BodyText"/>
      </w:pPr>
      <w:r>
        <w:t xml:space="preserve">Кроме того, российская столица была признана городом с крупнейшим потребительским рынком в стране. Москве также удалось занять седьмое место в рейтинге городов по благоприятности для международных ритейлеров.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http://cao.mos.ru/presscenter/news/detail/2247717.html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22477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22477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2025-06-16T17:52:13Z</dcterms:created>
  <dcterms:modified xsi:type="dcterms:W3CDTF">2025-06-16T17:52:13Z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