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cea507ab58eee12bf2837c5985aaf307d4c96"/>
    <w:p>
      <w:pPr>
        <w:pStyle w:val="Heading3"/>
      </w:pPr>
      <w:r>
        <w:t xml:space="preserve">Малому бизнесу предоставят беспроцентный кредит для выдачи зарплаты сотрудникам</w:t>
      </w:r>
    </w:p>
    <w:p>
      <w:pPr>
        <w:pStyle w:val="FirstParagraph"/>
      </w:pPr>
      <w:r>
        <w:t xml:space="preserve">06.04.2020</w:t>
      </w:r>
    </w:p>
    <w:p>
      <w:pPr>
        <w:pStyle w:val="BodyText"/>
      </w:pPr>
      <w:r>
        <w:drawing>
          <wp:inline>
            <wp:extent cx="5334000" cy="37556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96a/foto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5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всех российских банках начала действовать программа по выдаче займов в нулевой процентной ставкой для выплаты зарплаты сотрудникам.</w:t>
      </w:r>
    </w:p>
    <w:p>
      <w:pPr>
        <w:pStyle w:val="BodyText"/>
      </w:pPr>
      <w:r>
        <w:t xml:space="preserve">Это относится к организациям, которые работают больше одного года. Выплаты будут выдавать до 1 октября 2020 года. Сумма займов будет равна количеству сотрудников предприятий, умноженной на минимальный размер оплаты труда и умноженной на шесть.</w:t>
      </w:r>
    </w:p>
    <w:p>
      <w:pPr>
        <w:pStyle w:val="BodyText"/>
      </w:pPr>
      <w:r>
        <w:t xml:space="preserve">Общий объем программы составит 130 миллиардов рублей.</w:t>
      </w:r>
    </w:p>
    <w:p>
      <w:pPr>
        <w:pStyle w:val="BodyText"/>
      </w:pPr>
      <w:r>
        <w:t xml:space="preserve">В программу включили все банки России, поэтому представителям организаций необходимо посетить то учреждение, с которым они сотрудничают по финансовым вопросам.</w:t>
      </w:r>
    </w:p>
    <w:p>
      <w:pPr>
        <w:pStyle w:val="BodyText"/>
      </w:pPr>
      <w:r>
        <w:t xml:space="preserve">Программу запустили в связи со сложной эпидемиологической ситуацией в столице и мире.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http://cao.mos.ru/presscenter/news/detail/8813388.html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8813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8813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2025-02-15T16:28:44Z</dcterms:created>
  <dcterms:modified xsi:type="dcterms:W3CDTF">2025-02-15T16:28:44Z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