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5e7bb0614d375a74c01e852a0bb0ae2a417e4"/>
    <w:p>
      <w:pPr>
        <w:pStyle w:val="Heading3"/>
      </w:pPr>
      <w:r>
        <w:t xml:space="preserve">Дорожные работы провели по четырем адресам Тверского района</w:t>
      </w:r>
    </w:p>
    <w:p>
      <w:pPr>
        <w:pStyle w:val="FirstParagraph"/>
      </w:pPr>
      <w:r>
        <w:t xml:space="preserve">27.07.2020</w:t>
      </w:r>
    </w:p>
    <w:p>
      <w:pPr>
        <w:pStyle w:val="BodyText"/>
      </w:pPr>
      <w:r>
        <w:drawing>
          <wp:inline>
            <wp:extent cx="5334000" cy="73414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475/c36b0566_8885_4713_8044_a935f6eed5f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414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Государственного бюджетного учреждения «Жилищник» 25 июля выполнили дорожные работы по четырем адресам Тверского района.</w:t>
      </w:r>
    </w:p>
    <w:p>
      <w:pPr>
        <w:pStyle w:val="BodyText"/>
      </w:pPr>
      <w:r>
        <w:t xml:space="preserve">В общей сложности представители управляющей организации отремонтировали более 45 квадратных метров асфальта.</w:t>
      </w:r>
    </w:p>
    <w:p>
      <w:pPr>
        <w:pStyle w:val="BodyText"/>
      </w:pPr>
      <w:r>
        <w:t xml:space="preserve">— Ямы и выбоины заасфальтировали по адресам: улица Новолесная; 3-я Тверская-Ямская; Пыхов-Церковный проезд и 2-й Волконский переулок. Неровности устранили с использованием специальной смеси, — сообщил Акоп Мкртчян, ведущий инженер по благоустройству ГБУ «Жилищник».</w:t>
      </w:r>
    </w:p>
    <w:p>
      <w:pPr>
        <w:pStyle w:val="BodyText"/>
      </w:pPr>
      <w:r>
        <w:t xml:space="preserve">Ранее дорожные работы провели на улицах Новослободская, Новолесная, Достоевского, 1-я Миусская и многим другим.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http://cao.mos.ru/presscenter/news/detail/9063716.html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063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063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2025-07-18T21:40:20Z</dcterms:created>
  <dcterms:modified xsi:type="dcterms:W3CDTF">2025-07-18T21:40:20Z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