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c9ddf10764fa096783d860a29e20d00162327"/>
    <w:p>
      <w:pPr>
        <w:pStyle w:val="Heading3"/>
      </w:pPr>
      <w:r>
        <w:t xml:space="preserve">Бордюры отремонтировали в Мещанском районе</w:t>
      </w:r>
    </w:p>
    <w:p>
      <w:pPr>
        <w:pStyle w:val="FirstParagraph"/>
      </w:pPr>
      <w:r>
        <w:t xml:space="preserve">23.10.2020</w:t>
      </w:r>
    </w:p>
    <w:p>
      <w:pPr>
        <w:pStyle w:val="BodyText"/>
      </w:pPr>
      <w:r>
        <w:t xml:space="preserve">Сотрудники Государственного бюджетного учреждения «Жилищник» 21 октября отремонтировали бордюры в Мещанском районе.</w:t>
      </w:r>
    </w:p>
    <w:p>
      <w:pPr>
        <w:pStyle w:val="BodyText"/>
      </w:pPr>
      <w:r>
        <w:t xml:space="preserve">Работы провели в Лаврском и 2-м Троицком переулках.</w:t>
      </w:r>
    </w:p>
    <w:p>
      <w:pPr>
        <w:pStyle w:val="BodyText"/>
      </w:pPr>
      <w:r>
        <w:t xml:space="preserve">— Бордюры привели в порядок по просьбе жителей ближайших многоквартирных домов. Представители управляющей компании быстро отреагировали на обращение. Теперь в двух переулках района появились новые бордюры, — сказал заместитель руководителя Государственного бюджетного учреждения «Жилищник» Михаил Гудухин.</w:t>
      </w:r>
    </w:p>
    <w:p>
      <w:pPr>
        <w:pStyle w:val="BodyText"/>
      </w:pPr>
      <w:r>
        <w:t xml:space="preserve">Ранее сотрудники управляющей компании отремонтировали забор на детской площадке. Работы осуществили по адресу: улица Трифоновская, дом 54/2.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http://cao.mos.ru/presscenter/news/detail/9353428.html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3534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3534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2023-07-17T07:51:07Z</dcterms:created>
  <dcterms:modified xsi:type="dcterms:W3CDTF">2023-07-17T07:51:07Z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