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53a1c4855dc23cf0eb98bfebafd159e45d6a058"/>
    <w:p>
      <w:pPr>
        <w:pStyle w:val="Heading3"/>
      </w:pPr>
      <w:r>
        <w:t xml:space="preserve">Жители столицы стали больше посещать спортзалы и фитнес-клубы</w:t>
      </w:r>
    </w:p>
    <w:p>
      <w:pPr>
        <w:pStyle w:val="FirstParagraph"/>
      </w:pPr>
      <w:r>
        <w:t xml:space="preserve">03.03.2021</w:t>
      </w:r>
    </w:p>
    <w:p>
      <w:pPr>
        <w:pStyle w:val="BodyText"/>
      </w:pPr>
      <w:r>
        <w:drawing>
          <wp:inline>
            <wp:extent cx="5334000" cy="321394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ao.mos.ru/www/upload/medialibrary/40f/sport_zalsam9_e1614757247367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13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Количество жителей столицы, которые записываются в спортзалы и фитнес-клубы, возросло даже по сравнению со временем до пандемии. </w:t>
      </w:r>
    </w:p>
    <w:p>
      <w:pPr>
        <w:pStyle w:val="BodyText"/>
      </w:pPr>
      <w:r>
        <w:t xml:space="preserve">Снятие некоторых ограничительных мер позволило компаниям в сфере спорта и смежных отраслях вернуть докризисные обороты. Среднесуточные показатели фитнес-центров в Москве </w:t>
      </w:r>
      <w:hyperlink r:id="rId23">
        <w:r>
          <w:rPr>
            <w:rStyle w:val="Hyperlink"/>
          </w:rPr>
          <w:t xml:space="preserve">превысили</w:t>
        </w:r>
      </w:hyperlink>
      <w:r>
        <w:t xml:space="preserve"> докризисный уровень на 3,3 процента и составили 29,3 миллиона рублей.</w:t>
      </w:r>
    </w:p>
    <w:p>
      <w:pPr>
        <w:pStyle w:val="BodyText"/>
      </w:pPr>
      <w:r>
        <w:t xml:space="preserve">Стоит обратить внимание на повышенный интерес москвичей к спортивному снаряжению. </w:t>
      </w:r>
    </w:p>
    <w:p>
      <w:pPr>
        <w:pStyle w:val="BodyText"/>
      </w:pPr>
      <w:r>
        <w:t xml:space="preserve">Как отметил руководитель Департамента экономической политики и развития города Кирилл Пуртов, среднесуточные обороты торгующих такими товарами компаний с 1 по 23 февраля составили 54,9 миллиона рублей, что на шесть процентов выше показателя за те же дни прошлого года.</w:t>
      </w:r>
    </w:p>
    <w:p>
      <w:pPr>
        <w:pStyle w:val="BodyText"/>
      </w:pPr>
      <w:r>
        <w:t xml:space="preserve">Добавим, что в период пандемии более 51 тысячи организаций воспользовались мерами поддержки от Правительства Москвы. Объем фактически оказанной поддержки составил 35,5 миллиарда рублей.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http://cao.mos.ru/presscenter/news/detail/9756097.html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cao.mos.ru" TargetMode="External" /><Relationship Type="http://schemas.openxmlformats.org/officeDocument/2006/relationships/hyperlink" Id="rId24" Target="http://cao.mos.ru/presscenter/news/detail/9756097.html" TargetMode="External" /><Relationship Type="http://schemas.openxmlformats.org/officeDocument/2006/relationships/hyperlink" Id="rId23" Target="https://tass.ru/ekonomika/10802747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cao.mos.ru" TargetMode="External" /><Relationship Type="http://schemas.openxmlformats.org/officeDocument/2006/relationships/hyperlink" Id="rId24" Target="http://cao.mos.ru/presscenter/news/detail/9756097.html" TargetMode="External" /><Relationship Type="http://schemas.openxmlformats.org/officeDocument/2006/relationships/hyperlink" Id="rId23" Target="https://tass.ru/ekonomika/10802747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2025-08-04T11:42:46Z</dcterms:created>
  <dcterms:modified xsi:type="dcterms:W3CDTF">2025-08-04T11:42:46Z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