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c9472f99e5dac72e471032c69516415ecb682"/>
    <w:p>
      <w:pPr>
        <w:pStyle w:val="Heading3"/>
      </w:pPr>
      <w:r>
        <w:t xml:space="preserve">Заключение по результатам публичных слушаний по корректировке проекта межевания территории части квартала № 407 района Якиманка, ограниченного Большим Толмачевским пер., ул. Большая Ордынка, Пыжевским пер., Старомонетным пер.</w:t>
      </w:r>
    </w:p>
    <w:p>
      <w:pPr>
        <w:pStyle w:val="FirstParagraph"/>
      </w:pPr>
      <w:r>
        <w:t xml:space="preserve">20.03.2020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http://cao.mos.ru/public-hearings/detail/8775375.html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ublic-hearings/detail/87753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ublic-hearings/detail/87753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2024-12-10T20:43:27Z</dcterms:created>
  <dcterms:modified xsi:type="dcterms:W3CDTF">2024-12-10T20:43:27Z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